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463. REGIONAL FUEL TAX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