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Collector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Collector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§1031. COLLECTOR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