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Administration;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Administration;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§1104. ADMINISTRATION;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