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1138</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The owner of land subject to this subchapter may at any time request withdrawal of any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the working waterfront land, the owner, as a condition of withdrawal, shall file with the assessor a schedule including the information required under </w:t>
      </w:r>
      <w:r>
        <w:t>section 1137, subsection 1</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less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10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w:pPr>
        <w:jc w:val="both"/>
        <w:spacing w:before="100" w:after="0"/>
        <w:ind w:start="360"/>
      </w:pPr>
      <w:r>
        <w:rPr/>
      </w:r>
      <w:r>
        <w:rPr/>
      </w:r>
      <w:r>
        <w:t xml:space="preserve">If the owner of the property subject to a penalty under this section is unable to pay the penalty assessed under this section, the owner may request and the assessor shall, at the request of the owner, permit a delay in payment of the penalty of up to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§5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581</w:t>
      </w:r>
      <w:r>
        <w:t xml:space="preserve"> or </w:t>
      </w:r>
      <w:r>
        <w:t>section 1112‑C</w:t>
      </w:r>
      <w:r>
        <w:t xml:space="preserve">, the period of time that the land was taxed as working waterfront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Any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2021, c. 630, Pt. C, §17 (AMD). PL 2023, c. 671,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§1138.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§1138.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§1138.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