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1140-A</w:t>
        <w:t xml:space="preserve">.  </w:t>
      </w:r>
      <w:r>
        <w:rPr>
          <w:b/>
        </w:rPr>
        <w:t xml:space="preserve">Appeals and abatements</w:t>
      </w:r>
    </w:p>
    <w:p>
      <w:pPr>
        <w:jc w:val="both"/>
        <w:spacing w:before="100" w:after="100"/>
        <w:ind w:start="360"/>
        <w:ind w:firstLine="360"/>
      </w:pPr>
      <w:r>
        <w:rPr/>
      </w:r>
      <w:r>
        <w:rPr/>
      </w:r>
      <w:r>
        <w:t xml:space="preserve">The denial of an application or an assessment made under this subchapter is subject to the abatement procedures provided by </w:t>
      </w:r>
      <w:r>
        <w:t>section 841</w:t>
      </w:r>
      <w:r>
        <w:t xml:space="preserve">. Appeal from a decision rendered under </w:t>
      </w:r>
      <w:r>
        <w:t>section 841</w:t>
      </w:r>
      <w:r>
        <w:t xml:space="preserve"> is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§1140-A. Appeals and abatements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§1140-A. Appeals and abatements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§1140-A. APPEALS AND ABATEMENTS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