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1489</w:t>
        <w:t xml:space="preserve">.  </w:t>
      </w:r>
      <w:r>
        <w:rPr>
          <w:b/>
        </w:rPr>
        <w:t xml:space="preserve">Crediting and apportionment of tax received</w:t>
      </w:r>
    </w:p>
    <w:p>
      <w:pPr>
        <w:jc w:val="both"/>
        <w:spacing w:before="100" w:after="100"/>
        <w:ind w:start="360"/>
        <w:ind w:firstLine="360"/>
      </w:pPr>
      <w:r>
        <w:rPr>
          <w:b/>
        </w:rPr>
        <w:t>1</w:t>
        <w:t xml:space="preserve">.  </w:t>
      </w:r>
      <w:r>
        <w:rPr>
          <w:b/>
        </w:rPr>
        <w:t xml:space="preserve">Municipal excise tax account.</w:t>
        <w:t xml:space="preserve"> </w:t>
      </w:r>
      <w:r>
        <w:t xml:space="preserve"> </w:t>
      </w:r>
      <w:r>
        <w:t xml:space="preserve">In municipalities the treasurer shall credit money received from excise taxes to an excise tax account, from which it may be appropriated by the municipality for any purpose for which a municipality may appropriate money.</w:t>
      </w:r>
    </w:p>
    <w:p>
      <w:pPr>
        <w:jc w:val="both"/>
        <w:spacing w:before="100" w:after="100"/>
        <w:ind w:start="360"/>
        <w:ind w:firstLine="360"/>
      </w:pPr>
      <w:r>
        <w:rPr>
          <w:b/>
        </w:rPr>
        <w:t>2</w:t>
        <w:t xml:space="preserve">.  </w:t>
      </w:r>
      <w:r>
        <w:rPr>
          <w:b/>
        </w:rPr>
        <w:t xml:space="preserve">County treasurer.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459, Pt. C, §12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698, §7 (AMD). PL 1983, c. 471, §15 (AMD). PL 1985, c. 459, §C12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§1489. Crediting and apportionment of tax received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§1489. Crediting and apportionment of tax received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§1489. CREDITING AND APPORTIONMENT OF TAX RECEIVED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