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Payment of owner's interest;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Payment of owner's interest;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§1542. PAYMENT OF OWNER'S INTEREST;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