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176-B</w:t>
        <w:t xml:space="preserve">.  </w:t>
      </w:r>
      <w:r>
        <w:rPr>
          <w:b/>
        </w:rPr>
        <w:t xml:space="preserve">Access to financial records of individuals who owe Maine taxes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"Customer" means any person who has an account, including, but not limited to, a deposit, loan, mortgage or credit card account, with any financial institution and for which the financial institution is obligated to maintain records.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"Match" means an automated comparison by name and social security number or federal employer identification number of a list of taxpayers provided to a financial institution by the bureau and a list of customers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2</w:t>
        <w:t xml:space="preserve">.  </w:t>
      </w:r>
      <w:r>
        <w:rPr>
          <w:b/>
        </w:rPr>
        <w:t xml:space="preserve">Computer data match.</w:t>
        <w:t xml:space="preserve"> </w:t>
      </w:r>
      <w:r>
        <w:t xml:space="preserve"> </w:t>
      </w:r>
      <w:r>
        <w:t xml:space="preserve">Upon written request from the State Tax Assessor to a financial institution in this State with the technological capacity to perform a match, the financial institution shall perform a match using the list of taxpayer social security numbers or federal employer identification numbers provided by the bureau.  The bureau is responsible for making its computer data compatible with the data of the financial institution with which a match is sought.  The bureau's data, at a minimum, must include the name and social security number or federal employer identification number of and, when known, the amount of taxes owed by each taxpayer.  The bureau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bureau under </w:t>
      </w:r>
      <w:r>
        <w:t>subsection 2</w:t>
      </w:r>
      <w:r>
        <w:t xml:space="preserve">, a financial institution shall compile for the bureau a list of those customers whose social security numbers or federal employer identification numbers match the list of social security numbers or federal employer identification numbers of taxpayers provided by the bureau.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taxpayer's name;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The taxpayer's social security number or 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D</w:t>
        <w:t xml:space="preserve">.  </w:t>
      </w:r>
      <w:r>
        <w:rPr/>
      </w:r>
      <w:r>
        <w:t xml:space="preserve">The account type, account balance and any known encumbrances.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4</w:t>
        <w:t xml:space="preserve">.  </w:t>
      </w:r>
      <w:r>
        <w:rPr>
          <w:b/>
        </w:rPr>
        <w:t xml:space="preserve">Notice to bureau.</w:t>
        <w:t xml:space="preserve"> </w:t>
      </w:r>
      <w:r>
        <w:t xml:space="preserve"> </w:t>
      </w:r>
      <w:r>
        <w:t xml:space="preserve">A financial institution that has compiled a match list under </w:t>
      </w:r>
      <w:r>
        <w:t>subsection 3</w:t>
      </w:r>
      <w:r>
        <w:t xml:space="preserve"> shall send the list to the bureau at the address designated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customer contained in a match list submitted to the bureau under </w:t>
      </w:r>
      <w:r>
        <w:t>subsection 4</w:t>
      </w:r>
      <w:r>
        <w:t xml:space="preserve">.  Notwithstanding any other provision of law, failure to provide notice to a customer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bureau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taxpayers under </w:t>
      </w:r>
      <w:r>
        <w:t>subsection 3</w:t>
      </w:r>
      <w:r>
        <w:t xml:space="preserve">, with their social security numbers or federal employer identification numbers and the amount of the tax debt provided by the bureau to a financial institution, is confidential.  The information may be used only for the purpose of carrying out the requirements of this section.  Any person who willfully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bureau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§176-B. Access to financial records of individuals who owe Maine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§176-B. Access to financial records of individuals who owe Maine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§176-B. ACCESS TO FINANCIAL RECORDS OF INDIVIDUALS WHO OWE MAINE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