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§1761. ADVERTISING OF PAYMENT BY RETAILER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