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On July 1st of each year,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as defined in </w:t>
      </w:r>
      <w:r>
        <w:t>Title 12, section 13001, subsection 3</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On October 1st of each year, the State Controller shall transfer to the ATV Recreational Management Fund an amount, as certified by the State Tax Assessor, that is equivalent to 90% of the revenue from the tax imposed under this Part on the rental of all-terrain vehicles for the last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2023, c. 613,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PL 2023, c. 613, Pt. B,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 Tax on rental of all-terrain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Tax on rental of all-terrain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§1820. TAX ON RENTAL OF ALL-TERRAIN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