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warrants directed to the assessors of each municipality, as soon after the first day of April as is practicable, requiring them to assess upon the estates of each municipality its proportion of the state tax for the current year.  The Treasurer of State shall send such warrants for the state tax in a similar manner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523,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PL 2023, c. 523,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Time for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Time for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 TIME FOR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