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§2534. Credit for rehabilitation of historic properties and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Credit for rehabilitation of historic properties and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§2534. CREDIT FOR REHABILITATION OF HISTORIC PROPERTIES AND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