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2859</w:t>
        <w:t xml:space="preserve">.  </w:t>
      </w:r>
      <w:r>
        <w:rPr>
          <w:b/>
        </w:rPr>
        <w:t xml:space="preserve">Estimated tax requirements</w:t>
      </w:r>
    </w:p>
    <w:p>
      <w:pPr>
        <w:jc w:val="both"/>
        <w:spacing w:before="100" w:after="100"/>
        <w:ind w:start="360"/>
        <w:ind w:firstLine="360"/>
      </w:pPr>
      <w:r>
        <w:rPr/>
      </w:r>
      <w:r>
        <w:rPr/>
      </w:r>
      <w:r>
        <w:t xml:space="preserve">A mining company shall make payments of estimated tax pursuant to </w:t>
      </w:r>
      <w:r>
        <w:t>section 5228</w:t>
      </w:r>
      <w:r>
        <w:t xml:space="preserve">, except that the estimated tax liability is to be based on liability for the mining excise tax rather than the income tax.</w:t>
      </w:r>
      <w:r>
        <w:t xml:space="preserve">  </w:t>
      </w:r>
      <w:r xmlns:wp="http://schemas.openxmlformats.org/drawingml/2010/wordprocessingDrawing" xmlns:w15="http://schemas.microsoft.com/office/word/2012/wordml">
        <w:rPr>
          <w:rFonts w:ascii="Arial" w:hAnsi="Arial" w:cs="Arial"/>
          <w:sz w:val="22"/>
          <w:szCs w:val="22"/>
        </w:rPr>
        <w:t xml:space="preserve">[PL 1985, c. 691, §§ 27,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691, §§27,48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§2859. Estimated tax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§2859. Estimated tax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§2859. ESTIMATED TAX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