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Grants for impact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§2863. GRANTS FOR IMPACT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