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302</w:t>
        <w:t xml:space="preserve">.  </w:t>
      </w:r>
      <w:r>
        <w:rPr>
          <w:b/>
        </w:rPr>
        <w:t xml:space="preserve">Unorganized territories</w:t>
      </w:r>
    </w:p>
    <w:p>
      <w:pPr>
        <w:jc w:val="both"/>
        <w:spacing w:before="100" w:after="100"/>
        <w:ind w:start="360"/>
        <w:ind w:firstLine="360"/>
      </w:pPr>
      <w:r>
        <w:rPr/>
      </w:r>
      <w:r>
        <w:rPr/>
      </w:r>
      <w:r>
        <w:t xml:space="preserve">The Bureau of Revenue Services shall be responsible for the performance of the assessing function in the unorganized territory of the State and this territory shall constitute a single primary assessing unit.</w:t>
      </w:r>
      <w:r>
        <w:t xml:space="preserve">  </w:t>
      </w:r>
      <w:r xmlns:wp="http://schemas.openxmlformats.org/drawingml/2010/wordprocessingDrawing" xmlns:w15="http://schemas.microsoft.com/office/word/2012/wordml">
        <w:rPr>
          <w:rFonts w:ascii="Arial" w:hAnsi="Arial" w:cs="Arial"/>
          <w:sz w:val="22"/>
          <w:szCs w:val="22"/>
        </w:rPr>
        <w:t xml:space="preserve">[PL 1975, c. 545, §4 (AMD); PL 1997, c. 526,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620, §10 (NEW). PL 1975, c. 545, §4 (AMD). PL 1997, c. 526, §14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§302. Unorganized territories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§302. Unorganized territories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§302. UNORGANIZED TERRITORIES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