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§3204-B. Dyed fuel; prohibition on highway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§3204-B. Dyed fuel; prohibition on highway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§3204-B. DYED FUEL; PROHIBITION ON HIGHWAY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