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Minimum assessing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Minimum assessing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§327. MINIMUM ASSESSING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