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Inability to achieve standards</w:t>
      </w:r>
    </w:p>
    <w:p>
      <w:pPr>
        <w:jc w:val="both"/>
        <w:spacing w:before="100" w:after="100"/>
        <w:ind w:start="360"/>
        <w:ind w:firstLine="360"/>
      </w:pPr>
      <w:r>
        <w:rPr/>
      </w:r>
      <w:r>
        <w:rPr/>
      </w:r>
      <w:r>
        <w:t xml:space="preserve">If the Bureau of Revenue Services determines that a municipality has not met the minimum standards set forth in this subchapter, the municipality has  2 options:</w:t>
      </w:r>
      <w:r>
        <w:t xml:space="preserve">  </w:t>
      </w:r>
      <w:r xmlns:wp="http://schemas.openxmlformats.org/drawingml/2010/wordprocessingDrawing" xmlns:w15="http://schemas.microsoft.com/office/word/2012/wordml">
        <w:rPr>
          <w:rFonts w:ascii="Arial" w:hAnsi="Arial" w:cs="Arial"/>
          <w:sz w:val="22"/>
          <w:szCs w:val="22"/>
        </w:rPr>
        <w:t xml:space="preserve">[PL 2007, c. 627, §11 (AMD).]</w:t>
      </w:r>
    </w:p>
    <w:p>
      <w:pPr>
        <w:jc w:val="both"/>
        <w:spacing w:before="100" w:after="0"/>
        <w:ind w:start="360"/>
        <w:ind w:firstLine="360"/>
      </w:pPr>
      <w:r>
        <w:rPr>
          <w:b/>
        </w:rPr>
        <w:t>1</w:t>
        <w:t xml:space="preserve">.  </w:t>
      </w:r>
      <w:r>
        <w:rPr>
          <w:b/>
        </w:rPr>
        <w:t xml:space="preserve">Acceptance.</w:t>
        <w:t xml:space="preserve"> </w:t>
      </w:r>
      <w:r>
        <w:t xml:space="preserve"> </w:t>
      </w:r>
      <w:r>
        <w:t xml:space="preserve">If the municipality accepts the bureau's determination, the bureau shall consult with the officers of the municipality and require steps by which the municipality is to achieve an acceptable level of just assessing practices. In requiring those steps, the bureau shall endeavor to accommodate the preferences of the municipal officers.  The steps may include membership, where applicable, in a primary assessing district, joining with a companion municipality in the hiring of a professional assessor or an assessing firm or other arrangements approved by the bureau;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w:pPr>
        <w:jc w:val="both"/>
        <w:spacing w:before="100" w:after="0"/>
        <w:ind w:start="360"/>
        <w:ind w:firstLine="360"/>
      </w:pPr>
      <w:r>
        <w:rPr>
          <w:b/>
        </w:rPr>
        <w:t>2</w:t>
        <w:t xml:space="preserve">.  </w:t>
      </w:r>
      <w:r>
        <w:rPr>
          <w:b/>
        </w:rPr>
        <w:t xml:space="preserve">Appeal.</w:t>
        <w:t xml:space="preserve"> </w:t>
      </w:r>
      <w:r>
        <w:t xml:space="preserve"> </w:t>
      </w:r>
      <w:r>
        <w:t xml:space="preserve">If the municipality is aggrieved by the bureau's determination, the municipality may file a written notice of appeal with the State Board of Property Tax Review in accordance with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§11 (AMD). PL 1985, c. 764, §9 (AMD). PL 1997, c. 526, §14 (AMD). PL 2007, c. 627,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 Inability to achieve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Inability to achieve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 INABILITY TO ACHIEVE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