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Certification of treasurer and controller</w:t>
      </w:r>
    </w:p>
    <w:p>
      <w:pPr>
        <w:jc w:val="both"/>
        <w:spacing w:before="100" w:after="100"/>
        <w:ind w:start="360"/>
        <w:ind w:firstLine="360"/>
      </w:pPr>
      <w:r>
        <w:rPr/>
      </w:r>
      <w:r>
        <w:rPr/>
      </w:r>
      <w:r>
        <w:t xml:space="preserve">Before commencing to collect the taxes which the State Tax Assessor is authorized by law to collect, he shall certify to the Treasurer of State and the State Controller the total amount of each type of tax. Copies of all supplemental assessments and abatements of taxes shall be sent to the Treasurer of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Certification of treasurer and controller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Certification of treasurer and controller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§341. CERTIFICATION OF TREASURER AND CONTROLLER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