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must be paid by the personal representative to the extent of assets subject to the personal representative's control.  The assessor may accept payment of estate taxes in works of art in accordance with </w:t>
      </w:r>
      <w:r>
        <w:t>Title 27, chapter 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A final account of a personal representative of an estate may not be allowed by the Probate Court unless the personal representative has filed in the Probate Court a certificate of the assessor showing either that the amount of tax has been paid, that payment has been secured as provided in </w:t>
      </w:r>
      <w:r>
        <w:t>section 4108</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Personal representative's liability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Personal representative's liability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§4105. PERSONAL REPRESENTATIVE'S LIABILITY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