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Every distributor or remote retail seller shall obtain a license from the State Tax Assessor before engaging in business.  A retailer required to be licensed as a distributor or remote retail seller pursuant to this chapter that is required to hold a current retail tobacco license issued under </w:t>
      </w:r>
      <w:r>
        <w:t>Title 22, chapter 262‑A, subchapter 1</w:t>
      </w:r>
      <w:r>
        <w:t xml:space="preserve"> must hold that license as a condition for licensure under this chapter.  A license issued pursuant to this section may not be transferred to any other person.  A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§10 (AMD); PL 2023, c. 441, Pt. E, §28 (AFF).]</w:t>
      </w:r>
    </w:p>
    <w:p>
      <w:pPr>
        <w:jc w:val="both"/>
        <w:spacing w:before="100" w:after="0"/>
        <w:ind w:start="360"/>
        <w:ind w:firstLine="360"/>
      </w:pPr>
      <w:r>
        <w:rPr>
          <w:b/>
        </w:rPr>
        <w:t>2</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applying for a license shall agree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§11 (AMD); PL 2023, c. 441, Pt. E, §28 (AFF).]</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§16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or remote retail seller that imports into this State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B</w:t>
        <w:t xml:space="preserve">.  </w:t>
      </w:r>
      <w:r>
        <w:rPr/>
      </w:r>
      <w:r>
        <w:t xml:space="preserve">A distributor or remote retail seller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C</w:t>
        <w:t xml:space="preserve">.  </w:t>
      </w:r>
      <w:r>
        <w:rPr/>
      </w:r>
      <w:r>
        <w:t xml:space="preserve">A distributor or remote retail seller that sells at wholesale or retail, offers for sale at wholesale or retail or possesses with intent to sell at wholesale or retail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D</w:t>
        <w:t xml:space="preserve">.  </w:t>
      </w:r>
      <w:r>
        <w:rPr/>
      </w:r>
      <w:r>
        <w:t xml:space="preserve">A distributor or remote retail seller that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§12 (AMD); PL 2023, c. 441, Pt. E, §28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or remote retail seller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§13 (AMD); PL 2023, c. 441, Pt. E, §28 (AFF).]</w:t>
      </w:r>
    </w:p>
    <w:p>
      <w:pPr>
        <w:jc w:val="both"/>
        <w:spacing w:before="100" w:after="0"/>
        <w:ind w:start="360"/>
        <w:ind w:firstLine="360"/>
      </w:pPr>
      <w:r>
        <w:rPr>
          <w:b/>
        </w:rPr>
        <w:t>6</w:t>
        <w:t xml:space="preserve">.  </w:t>
      </w:r>
      <w:r>
        <w:rPr>
          <w:b/>
        </w:rPr>
        <w:t xml:space="preserve">License directory maintained.</w:t>
        <w:t xml:space="preserve"> </w:t>
      </w:r>
      <w:r>
        <w:t xml:space="preserve"> </w:t>
      </w:r>
      <w:r>
        <w:t xml:space="preserve">The assessor shall maintain a directory of distributors and remote retail sellers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§14 (AMD); PL 2023, c. 441, Pt. E, §28 (AFF).]</w:t>
      </w:r>
    </w:p>
    <w:p>
      <w:pPr>
        <w:jc w:val="both"/>
        <w:spacing w:before="100" w:after="0"/>
        <w:ind w:start="360"/>
        <w:ind w:firstLine="360"/>
      </w:pPr>
      <w:r>
        <w:rPr>
          <w:b/>
        </w:rPr>
        <w:t>7</w:t>
        <w:t xml:space="preserve">.  </w:t>
      </w:r>
      <w:r>
        <w:rPr>
          <w:b/>
        </w:rPr>
        <w:t xml:space="preserve">Notification.</w:t>
        <w:t xml:space="preserve"> </w:t>
      </w:r>
      <w:r>
        <w:t xml:space="preserve"> </w:t>
      </w:r>
      <w:r>
        <w:t xml:space="preserve">A distributor or remote retail seller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and remote retail sellers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§15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1997, c. 526, §14 (AMD). PL 2001, c. 382, §1 (AMD). PL 2001, c. 526, §4 (AMD). PL 2003, c. 439, §4 (AMD). PL 2005, c. 627, §7 (RPR). PL 2013, c. 331, Pt. C, §31 (AMD). PL 2013, c. 331, Pt. C, §41 (AFF). PL 2015, c. 300, Pt. A, §37 (AMD). PL 2019, c. 379, Pt. B, §§15-18 (AMD). PL 2023, c. 441, Pt. E, §§10-15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