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§4403-A. Exemptions from the tobacco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§4403-A. EXEMPTIONS FROM THE TOBACCO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