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telecommunications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§457. STATE TELECOMMUNICATIONS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