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§4718. Contributions; Mahogany Quahog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§4718. Contributions; Mahogany Quahog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§4718. CONTRIBUTIONS; MAHOGANY QUAHOG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