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Maine taxable income</w:t>
      </w:r>
    </w:p>
    <w:p>
      <w:pPr>
        <w:jc w:val="both"/>
        <w:spacing w:before="100" w:after="100"/>
        <w:ind w:start="360"/>
        <w:ind w:firstLine="360"/>
      </w:pPr>
      <w:r>
        <w:rPr/>
      </w:r>
      <w:r>
        <w:rPr/>
      </w:r>
      <w:r>
        <w:t xml:space="preserve">The Maine taxable income of a resident individual is equal to the individual's federal adjusted gross income with the modifications and less the deductions and personal exemptions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379,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§8 (RPR). PL 1987, c. 819, §4 (RPR). PL 1989, c. 596, §J3 (RPR). PL 1995, c. 281, §26 (AMD). PL 2003, c. 390, §26 (AMD). PL 2019, c. 379,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§5121. Maine taxable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Maine taxable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§5121. MAINE TAXABLE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