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§§1-3 (AMD); 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§5122.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