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5124-A</w:t>
        <w:t xml:space="preserve">.  </w:t>
      </w:r>
      <w:r>
        <w:rPr>
          <w:b/>
        </w:rPr>
        <w:t xml:space="preserve">Standard deduction; resident before 2016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§17 (NEW). IB 1981, c. 2, §2 (AMD). PL 1983, c. 3, §2 (AMD). PL 1985, c. 535, §15 (RPR). PL 1987, c. 497, §§48,49 (AMD). PL 1987, c. 819, §6 (RPR). PL 1989, c. 495, §§2,9 (RPR). PL 1989, c. 596, §J7 (AMD). PL 2003, c. 20, §HH1 (RPR). PL 2003, c. 479, §4 (AMD). PL 2005, c. 12, §P5 (AMD). PL 2009, c. 213, Pt. BBBB, §9 (AMD). PL 2009, c. 213, Pt. BBBB, §17 (AFF). PL 2011, c. 380, Pt. N, §7 (AMD). PL 2011, c. 380, Pt. N, §§19, 20 (AFF). PL 2013, c. 368, Pt. TT, §9 (AMD). PL 2015, c. 267, Pt. DD, §13 (AMD). PL 2015, c. 267, Pt. DD, §34 (AFF). PL 2023, c. 412, Pt. ZZZ,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§5124-A. Standard deduction; resident before 2016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§5124-A. Standard deduction; resident before 2016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§5124-A. STANDARD DEDUCTION; RESIDENT BEFORE 2016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