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§5191. Resident partner -- adjusted gross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§5191. Resident partner -- adjusted gross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§5191. RESIDENT PARTNER -- ADJUSTED GROSS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