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§15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PL 2023, c. 679,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§5200-A.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§5200-A.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§5200-A.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