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5244</w:t>
        <w:t xml:space="preserve">.  </w:t>
      </w:r>
      <w:r>
        <w:rPr>
          <w:b/>
        </w:rPr>
        <w:t xml:space="preserve">Combined report</w:t>
      </w:r>
    </w:p>
    <w:p>
      <w:pPr>
        <w:jc w:val="both"/>
        <w:spacing w:before="100" w:after="100"/>
        <w:ind w:start="360"/>
        <w:ind w:firstLine="360"/>
      </w:pPr>
      <w:r>
        <w:rPr/>
      </w:r>
      <w:r>
        <w:rPr/>
      </w:r>
      <w:r>
        <w:t xml:space="preserve">The combined report required by </w:t>
      </w:r>
      <w:r>
        <w:t>section 5220, subsection 5</w:t>
      </w:r>
      <w:r>
        <w:t xml:space="preserve">, must include, both in the aggregate and by corporation, a list of the federal taxable income, the modifications provided by </w:t>
      </w:r>
      <w:r>
        <w:t>section 5200‑A</w:t>
      </w:r>
      <w:r>
        <w:t xml:space="preserve">, the sales in Maine and everywhere as defined in </w:t>
      </w:r>
      <w:r>
        <w:t>chapter 821</w:t>
      </w:r>
      <w:r>
        <w:t xml:space="preserve"> and the Maine net income of the unitary business.  Neither the income nor the sales of a corporation that is not required to file a federal income tax return may be included in the combined report.</w:t>
      </w:r>
      <w:r>
        <w:t xml:space="preserve">  </w:t>
      </w:r>
      <w:r xmlns:wp="http://schemas.openxmlformats.org/drawingml/2010/wordprocessingDrawing" xmlns:w15="http://schemas.microsoft.com/office/word/2012/wordml">
        <w:rPr>
          <w:rFonts w:ascii="Arial" w:hAnsi="Arial" w:cs="Arial"/>
          <w:sz w:val="22"/>
          <w:szCs w:val="22"/>
        </w:rPr>
        <w:t xml:space="preserve">[PL 2007, c. 240, Pt. V, §14 (AMD); PL 2007, c. 240, Pt. V,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675, §§3,5 (NEW). PL 1987, c. 841, §14 (AMD). PL 1997, c. 24, §C12 (AMD). PL 1997, c. 24, §C16 (AFF). PL 2007, c. 240, Pt. V, §14 (AMD). PL 2007, c. 240, Pt. V,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§5244. Combined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§5244. Combined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§5244. COMBINED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