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5251-A</w:t>
        <w:t xml:space="preserve">.  </w:t>
      </w:r>
      <w:r>
        <w:rPr>
          <w:b/>
        </w:rPr>
        <w:t xml:space="preserve">Fraudulent statement or failure to furnish statement</w:t>
      </w:r>
    </w:p>
    <w:p>
      <w:pPr>
        <w:jc w:val="both"/>
        <w:spacing w:before="100" w:after="100"/>
        <w:ind w:start="360"/>
        <w:ind w:firstLine="360"/>
      </w:pPr>
      <w:r>
        <w:rPr/>
      </w:r>
      <w:r>
        <w:rPr/>
      </w:r>
      <w:r>
        <w:t xml:space="preserve">A person who is required by </w:t>
      </w:r>
      <w:r>
        <w:t>section 5251</w:t>
      </w:r>
      <w:r>
        <w:t xml:space="preserve"> to furnish a statement to a payee and who willfully fails to furnish that statement at the time required by </w:t>
      </w:r>
      <w:r>
        <w:t>section 5251</w:t>
      </w:r>
      <w:r>
        <w:t xml:space="preserve">, in the form and showing the information prescribed by the State Tax Assessor, or who willfully furnishes a false or fraudulent statement commits a civil violation for which a fine of $50 for each such failure must be imposed.</w:t>
      </w:r>
      <w:r>
        <w:t xml:space="preserve">  </w:t>
      </w:r>
      <w:r xmlns:wp="http://schemas.openxmlformats.org/drawingml/2010/wordprocessingDrawing" xmlns:w15="http://schemas.microsoft.com/office/word/2012/wordml">
        <w:rPr>
          <w:rFonts w:ascii="Arial" w:hAnsi="Arial" w:cs="Arial"/>
          <w:sz w:val="22"/>
          <w:szCs w:val="22"/>
        </w:rPr>
        <w:t xml:space="preserve">[PL 2007, c. 437, §20 (NEW); PL 2007, c. 437,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§20 (NEW). PL 2007, c. 437,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§5251-A. Fraudulent statement or failure to furnish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§5251-A. Fraudulent statement or failure to furnish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§5251-A. FRAUDULENT STATEMENT OR FAILURE TO FURNISH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