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§5256. Period for computation of taxable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Period for computation of taxable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§5256. PERIOD FOR COMPUTATION OF TAXABLE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