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§5286. CONTRIBUTION TO MAINE CLEAN ELECTION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