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Annual adjustment</w:t>
      </w:r>
    </w:p>
    <w:p>
      <w:pPr>
        <w:jc w:val="both"/>
        <w:spacing w:before="100" w:after="0"/>
        <w:ind w:start="360"/>
        <w:ind w:firstLine="360"/>
      </w:pPr>
      <w:r>
        <w:rPr>
          <w:b/>
        </w:rPr>
        <w:t>1</w:t>
        <w:t xml:space="preserve">.  </w:t>
      </w:r>
      <w:r>
        <w:rPr>
          <w:b/>
        </w:rPr>
        <w:t xml:space="preserve">Household limitation adjustment.</w:t>
        <w:t xml:space="preserve"> </w:t>
      </w:r>
      <w:r>
        <w:t xml:space="preserve"> </w:t>
      </w:r>
      <w:r>
        <w:t xml:space="preserve">The State Tax Assessor shall determine annually the household income eligibility adjustment factor. That factor must be multiplied by the applicable income limitations in </w:t>
      </w:r>
      <w:r>
        <w:t>section 6206</w:t>
      </w:r>
      <w:r>
        <w:t xml:space="preserve">, as previously adjusted according to this subsection, for the year prior to that for which relief is requested. The result must be rounded to the nearest $100 and applies to the year for which relief is requested corresponding to the year on which the annualized cost of living adjustments were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§6 (AMD); PL 2005, c. 2, Pt. E, §§7, 8 (AFF).]</w:t>
      </w:r>
    </w:p>
    <w:p>
      <w:pPr>
        <w:jc w:val="both"/>
        <w:spacing w:before="100" w:after="0"/>
        <w:ind w:start="360"/>
        <w:ind w:firstLine="360"/>
      </w:pPr>
      <w:r>
        <w:rPr>
          <w:b/>
        </w:rPr>
        <w:t>2</w:t>
        <w:t xml:space="preserve">.  </w:t>
      </w:r>
      <w:r>
        <w:rPr>
          <w:b/>
        </w:rPr>
        <w:t xml:space="preserve">Benefit base maximum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BBBB, §2 (RP).]</w:t>
      </w:r>
    </w:p>
    <w:p>
      <w:pPr>
        <w:jc w:val="both"/>
        <w:spacing w:before="100" w:after="0"/>
        <w:ind w:start="360"/>
        <w:ind w:firstLine="360"/>
      </w:pPr>
      <w:r>
        <w:rPr>
          <w:b/>
        </w:rPr>
        <w:t>3</w:t>
        <w:t xml:space="preserve">.  </w:t>
      </w:r>
      <w:r>
        <w:rPr>
          <w:b/>
        </w:rPr>
        <w:t xml:space="preserve">Benefit base maximum adjustment.</w:t>
        <w:t xml:space="preserve"> </w:t>
      </w:r>
      <w:r>
        <w:t xml:space="preserve"> </w:t>
      </w:r>
      <w:r>
        <w:t xml:space="preserve">Beginning March 1, 2009, the State Tax Assessor shall annually multiply the household income eligibility adjustment factor by the maximum benefit base amounts specified in </w:t>
      </w:r>
      <w:r>
        <w:t>section 6201, subsection 1</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§3 (NEW).]</w:t>
      </w:r>
    </w:p>
    <w:p>
      <w:pPr>
        <w:jc w:val="both"/>
        <w:spacing w:before="100" w:after="0"/>
        <w:ind w:start="360"/>
        <w:ind w:firstLine="360"/>
      </w:pPr>
      <w:r>
        <w:rPr>
          <w:b/>
        </w:rPr>
        <w:t>4</w:t>
        <w:t xml:space="preserve">.  </w:t>
      </w:r>
      <w:r>
        <w:rPr>
          <w:b/>
        </w:rPr>
        <w:t xml:space="preserve">Income eligibility adjustment.</w:t>
        <w:t xml:space="preserve"> </w:t>
      </w:r>
      <w:r>
        <w:t xml:space="preserve"> </w:t>
      </w:r>
      <w:r>
        <w:t xml:space="preserve">Beginning March 1, 2009, the State Tax Assessor shall annually multiply the household income eligibility adjustment factor by the maximum income eligibility amounts specified in </w:t>
      </w:r>
      <w:r>
        <w:t>section 6207, subsection 2‑A</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508, §25 (AMD). PL 2005, c. 2, §E6 (AMD). PL 2005, c. 2, §§E7,8 (AFF). PL 2007, c. 539, Pt. BBBB, §2 (AMD). PL 2007, c. 700, Pt. A, §§3, 4 (AMD). PL 2009, c. 434,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§6209. Annual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Annual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§6209. ANNUAL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