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§6216. Protection from loss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Protection from loss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§6216. PROTECTION FROM LOSS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