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6220</w:t>
        <w:t xml:space="preserve">.  </w:t>
      </w:r>
      <w:r>
        <w:rPr>
          <w:b/>
        </w:rPr>
        <w:t xml:space="preserve">Coordination required</w:t>
      </w:r>
    </w:p>
    <w:p>
      <w:pPr>
        <w:jc w:val="both"/>
        <w:spacing w:before="100" w:after="100"/>
        <w:ind w:start="360"/>
        <w:ind w:firstLine="360"/>
      </w:pPr>
      <w:r>
        <w:rPr/>
      </w:r>
      <w:r>
        <w:rPr/>
      </w:r>
      <w:r>
        <w:t xml:space="preserve">The bureau shall seek the advice and cooperation of the Department of Health and Human Services; advocates for elderly and low-income individuals; and other interested agencies and organizations in developing the application form and instruction booklet for the Maine Residents Property Tax Program and the outreach plan required by </w:t>
      </w:r>
      <w:r>
        <w:t>section 6219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BB,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1989, c. 878, §B38 (AMD). PL 1991, c. 780, §DDD21 (AMD). PL 1995, c. 418, §A39 (AMD). PL 1997, c. 526, §14 (AMD). PL 1997, c. 668, §40 (AMD). PL 2011, c. 657, Pt. BB,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§6220. Coordination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§6220. Coordination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§6220. COORDINATION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