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7. Payment of amount equivalent to deferred taxes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7. Payment of amount equivalent to deferred taxes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7. PAYMENT OF AMOUNT EQUIVALENT TO DEFERRED TAXES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