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§6260. Time for payments; delinquencies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§6260. Time for payments; delinquencies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§6260. TIME FOR PAYMENTS; DELINQUENCIES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