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682, §1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p>
    <w:p>
      <w:pPr>
        <w:jc w:val="both"/>
        <w:spacing w:before="100" w:after="0"/>
        <w:ind w:start="720"/>
      </w:pPr>
      <w:r>
        <w:rPr/>
      </w:r>
      <w:r>
        <w:rPr/>
      </w:r>
      <w:r>
        <w:t xml:space="preserve">This paragraph applies to solar energy equipment for property tax years beginning before April 1, 2025; and</w:t>
      </w:r>
      <w:r>
        <w:t xml:space="preserve">  </w:t>
      </w:r>
      <w:r xmlns:wp="http://schemas.openxmlformats.org/drawingml/2010/wordprocessingDrawing" xmlns:w15="http://schemas.microsoft.com/office/word/2012/wordml">
        <w:rPr>
          <w:rFonts w:ascii="Arial" w:hAnsi="Arial" w:cs="Arial"/>
          <w:sz w:val="22"/>
          <w:szCs w:val="22"/>
        </w:rPr>
        <w:t xml:space="preserve">[PL 2023, c. 682, §2 (AMD).]</w:t>
      </w:r>
    </w:p>
    <w:p>
      <w:pPr>
        <w:jc w:val="both"/>
        <w:spacing w:before="100" w:after="0"/>
        <w:ind w:start="720"/>
      </w:pPr>
      <w:r>
        <w:rPr/>
        <w:t>V</w:t>
        <w:t xml:space="preserve">.  </w:t>
      </w:r>
      <w:r>
        <w:rPr/>
      </w:r>
      <w:r>
        <w:t xml:space="preserve">For property tax years beginning on or after April 1, 2025, solar energy equipment that generates heat or electricity if:</w:t>
      </w:r>
    </w:p>
    <w:p>
      <w:pPr>
        <w:jc w:val="both"/>
        <w:spacing w:before="100" w:after="0"/>
        <w:ind w:start="1080"/>
      </w:pPr>
      <w:r>
        <w:rPr/>
        <w:t>(</w:t>
        <w:t>1</w:t>
        <w:t xml:space="preserve">)  </w:t>
      </w:r>
      <w:r>
        <w:rPr/>
      </w:r>
      <w:r>
        <w:t xml:space="preserve">All of the energy is used on the site where the property is located;</w:t>
      </w:r>
    </w:p>
    <w:p>
      <w:pPr>
        <w:jc w:val="both"/>
        <w:spacing w:before="100" w:after="0"/>
        <w:ind w:start="1080"/>
      </w:pPr>
      <w:r>
        <w:rPr/>
        <w:t>(</w:t>
        <w:t>2</w:t>
        <w:t xml:space="preserve">)  </w:t>
      </w:r>
      <w:r>
        <w:rPr/>
      </w:r>
      <w:r>
        <w:t xml:space="preserve">The equipment is collocated with a net energy billing customer that is or net energy billing customers that are subscribed to at least 50% of the facility's output; or</w:t>
      </w:r>
    </w:p>
    <w:p>
      <w:pPr>
        <w:jc w:val="both"/>
        <w:spacing w:before="100" w:after="0"/>
        <w:ind w:start="1080"/>
      </w:pPr>
      <w:r>
        <w:rPr/>
        <w:t>(</w:t>
        <w:t>3</w:t>
        <w:t xml:space="preserve">)  </w:t>
      </w:r>
      <w:r>
        <w:rPr/>
      </w:r>
      <w:r>
        <w:t xml:space="preserve">All of the energy is transmitted through the facilities of a transmission and distribution utility and a utility customer or customers receive a utility bill credit for the energy generated by the equipment pursuant to </w:t>
      </w:r>
      <w:r>
        <w:t>Title 35‑A, section 3209‑A</w:t>
      </w:r>
      <w:r>
        <w:t xml:space="preserve"> or </w:t>
      </w:r>
      <w:r>
        <w:t>3209‑B</w:t>
      </w:r>
      <w:r>
        <w:t xml:space="preserve"> and the generator of electricity entered into a fully executed interconnection agreement with a transmission and distribution utility prior to June 1, 2024.</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a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2023, c. 682,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PL 2023, c. 682,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