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w:t>
        <w:t xml:space="preserve">.  </w:t>
      </w:r>
      <w:r>
        <w:rPr>
          <w:b/>
        </w:rPr>
        <w:t xml:space="preserve">Amnesty return</w:t>
      </w:r>
    </w:p>
    <w:p>
      <w:pPr>
        <w:jc w:val="both"/>
        <w:spacing w:before="100" w:after="100"/>
        <w:ind w:start="360"/>
        <w:ind w:firstLine="360"/>
      </w:pPr>
      <w:r>
        <w:rPr/>
      </w:r>
      <w:r>
        <w:rPr/>
      </w:r>
      <w:r>
        <w:t xml:space="preserve">The assessor shall prepare and make available the 2003 amnesty return.  The return and associated guidelines prepared by the assessor, which govern participation in the 2003 Maine Tax Amnesty Program, are exempt from the Maine Administrative Procedure Act.  The application requires the approval of the assessor.  The assessor may deny any applications not consistent with the 2003 Maine Tax Amnesty Program.</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 Amnesty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 Amnesty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§6575. AMNESTY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