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6603</w:t>
        <w:t xml:space="preserve">.  </w:t>
      </w:r>
      <w:r>
        <w:rPr>
          <w:b/>
        </w:rPr>
        <w:t xml:space="preserve">Undisclosed liabilities</w:t>
      </w:r>
    </w:p>
    <w:p>
      <w:pPr>
        <w:jc w:val="both"/>
        <w:spacing w:before="100" w:after="100"/>
        <w:ind w:start="360"/>
        <w:ind w:firstLine="360"/>
      </w:pPr>
      <w:r>
        <w:rPr/>
      </w:r>
      <w:r>
        <w:rPr/>
      </w:r>
      <w:r>
        <w:t xml:space="preserve">This chapter does not prohibit the State Tax Assessor from instituting civil or criminal proceedings against any taxpayer with respect to any amount of tax that is not paid with the 2010 tax initiatives application described in </w:t>
      </w:r>
      <w:r>
        <w:t>section 6605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§6603. Undisclosed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§6603. Undisclosed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§6603. UNDISCLOSED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