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w:t>
        <w:t xml:space="preserve">.  </w:t>
      </w:r>
      <w:r>
        <w:rPr>
          <w:b/>
        </w:rPr>
        <w:t xml:space="preserve">Reimbursement for state-mandated costs</w:t>
      </w:r>
    </w:p>
    <w:p>
      <w:pPr>
        <w:jc w:val="both"/>
        <w:spacing w:before="100" w:after="100"/>
        <w:ind w:start="360"/>
        <w:ind w:firstLine="360"/>
      </w:pPr>
      <w:r>
        <w:rPr/>
      </w:r>
      <w:r>
        <w:rPr/>
      </w:r>
      <w:r>
        <w:t xml:space="preserve">The bureau shall reimburse municipalities and the Unorganized Territory Education and Services Fund for state-mandated costs in the manner provided in </w:t>
      </w:r>
      <w:r>
        <w:t>Title 30‑A, section 5685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 Reimbursement for state-mandated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 Reimbursement for state-mandated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§700. REIMBURSEMENT FOR STATE-MANDATED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