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Assessors' liability</w:t>
      </w:r>
    </w:p>
    <w:p>
      <w:pPr>
        <w:jc w:val="both"/>
        <w:spacing w:before="100" w:after="100"/>
        <w:ind w:start="360"/>
        <w:ind w:firstLine="360"/>
      </w:pPr>
      <w:r>
        <w:rPr/>
      </w:r>
      <w:r>
        <w:rPr/>
      </w:r>
      <w:r>
        <w:t xml:space="preserve">Assessors of municipalities and primary assessing areas are not responsible for the assessment of any tax which they are by law required to assess; but the liability shall rest solely with the municipality for whose benefit the tax was assessed, and the assessors shall be responsible only for their own personal faithfulness and integrity.</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Assessors'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Assessors'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§702. ASSESSORS'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