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Overlay</w:t>
      </w:r>
    </w:p>
    <w:p>
      <w:pPr>
        <w:jc w:val="both"/>
        <w:spacing w:before="100" w:after="100"/>
        <w:ind w:start="360"/>
        <w:ind w:firstLine="360"/>
      </w:pPr>
      <w:r>
        <w:rPr/>
      </w:r>
      <w:r>
        <w:rPr/>
      </w:r>
      <w:r>
        <w:t xml:space="preserve">The assessors or, in primary assessing areas, the municipal officers may assess on the estates such sum above the sum necessary for them to assess, not exceeding 5% thereof as a fractional division renders convenient, and certify that fact to their municipal treasurer.</w:t>
      </w:r>
      <w:r>
        <w:t xml:space="preserve">  </w:t>
      </w:r>
      <w:r xmlns:wp="http://schemas.openxmlformats.org/drawingml/2010/wordprocessingDrawing" xmlns:w15="http://schemas.microsoft.com/office/word/2012/wordml">
        <w:rPr>
          <w:rFonts w:ascii="Arial" w:hAnsi="Arial" w:cs="Arial"/>
          <w:sz w:val="22"/>
          <w:szCs w:val="22"/>
        </w:rPr>
        <w:t xml:space="preserve">[PL 1973, c. 695,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§9 (AMD). PL 1973, c. 620, §20 (AMD). PL 1973, c. 695,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Overlay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Overlay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 OVERLAY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