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Treasurer's receipt as evidence of redemption</w:t>
      </w:r>
    </w:p>
    <w:p>
      <w:pPr>
        <w:jc w:val="both"/>
        <w:spacing w:before="100" w:after="100"/>
        <w:ind w:start="360"/>
        <w:ind w:firstLine="360"/>
      </w:pPr>
      <w:r>
        <w:rPr/>
      </w:r>
      <w:r>
        <w:rPr/>
      </w:r>
      <w:r>
        <w:t xml:space="preserve">The municipal treasurer's receipt or certificate of payment of a sufficient sum to redeem any real estate taxed shall be legal evidence of such payment and redemption.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Treasurer's receipt as evidence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Treasurer's receipt as evidence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§904. TREASURER'S RECEIPT AS EVIDENCE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