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943-A</w:t>
        <w:t xml:space="preserve">.  </w:t>
      </w:r>
      <w:r>
        <w:rPr>
          <w:b/>
        </w:rPr>
        <w:t xml:space="preserve">Application for abatement</w:t>
      </w:r>
    </w:p>
    <w:p>
      <w:pPr>
        <w:jc w:val="both"/>
        <w:spacing w:before="100" w:after="100"/>
        <w:ind w:start="360"/>
        <w:ind w:firstLine="360"/>
      </w:pPr>
      <w:r>
        <w:rPr/>
      </w:r>
      <w:r>
        <w:rPr/>
      </w:r>
      <w:r>
        <w:t xml:space="preserve">Each notice under </w:t>
      </w:r>
      <w:r>
        <w:t>sections 942</w:t>
      </w:r>
      <w:r>
        <w:t xml:space="preserve"> and </w:t>
      </w:r>
      <w:r>
        <w:t>1281</w:t>
      </w:r>
      <w:r>
        <w:t xml:space="preserve"> that is sent by a municipality or the State Tax Assessor to a person on whose primary residence taxes have been assessed must contain a statement that that person may apply for an abatement of those taxes if the person cannot pay the taxes that have been assessed because of poverty or hardship.</w:t>
      </w:r>
      <w:r>
        <w:t xml:space="preserve">  </w:t>
      </w:r>
      <w:r xmlns:wp="http://schemas.openxmlformats.org/drawingml/2010/wordprocessingDrawing" xmlns:w15="http://schemas.microsoft.com/office/word/2012/wordml">
        <w:rPr>
          <w:rFonts w:ascii="Arial" w:hAnsi="Arial" w:cs="Arial"/>
          <w:sz w:val="22"/>
          <w:szCs w:val="22"/>
        </w:rPr>
        <w:t xml:space="preserve">[PL 2011, c. 624,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364, §2 (NEW). PL 2005, c. 169, §2 (AMD). PL 2011, c. 624,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§943-A. Application for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§943-A. Application for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§943-A. APPLICATION FOR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