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943-B</w:t>
        <w:t xml:space="preserve">.  </w:t>
      </w:r>
      <w:r>
        <w:rPr>
          <w:b/>
        </w:rPr>
        <w:t xml:space="preserve">Credit reporting; payment during redemption period</w:t>
      </w:r>
    </w:p>
    <w:p>
      <w:pPr>
        <w:jc w:val="both"/>
        <w:spacing w:before="100" w:after="100"/>
        <w:ind w:start="360"/>
        <w:ind w:firstLine="360"/>
      </w:pPr>
      <w:r>
        <w:rPr/>
      </w:r>
      <w:r>
        <w:rPr/>
      </w:r>
      <w:r>
        <w:t xml:space="preserve">If a municipality takes action under </w:t>
      </w:r>
      <w:r>
        <w:t>section 942</w:t>
      </w:r>
      <w:r>
        <w:t xml:space="preserve"> or </w:t>
      </w:r>
      <w:r>
        <w:t>943</w:t>
      </w:r>
      <w:r>
        <w:t xml:space="preserve"> to enforce a lien in effect pursuant to </w:t>
      </w:r>
      <w:r>
        <w:t>chapter 908‑A</w:t>
      </w:r>
      <w:r>
        <w:t xml:space="preserve"> that results in a record of a lien in a party's name being placed in that party's file with a consumer reporting agency, that lien must be considered inaccurate information under 15 United States Code, Section 1681i if the party submits proof to the consumer reporting agency that the deferred taxes were paid during the 18-month redemption period provided for in </w:t>
      </w:r>
      <w:r>
        <w:t>section 943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§4 (NEW). PL 2013, c. 588, Pt. C,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§943-B. Credit reporting; payment during redemption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§943-B. Credit reporting; payment during redemption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§943-B. CREDIT REPORTING; PAYMENT DURING REDEMPTION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