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Closing and restricting use of highway; penalty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any of the states for defense or for war, or in the prosecution of war by the United States, or with preparations and plans for emergency management, or with the execution of those preparations and plans under </w:t>
      </w:r>
      <w:r>
        <w:t>chapter 13</w:t>
      </w:r>
      <w:r>
        <w:t xml:space="preserve">, or in the manufacture, transportation, distribution or storage of gas, oil, coal, electricity or water, or any individual, partnership, association, corporation, municipal corporation or state or any of its political subdivisions operating a public utility, who has property so used that the person or it believes will be endangered if public use and travel is not restricted or prohibited on one or more highways or parts of a highway or highways upon which the property abuts, may petition the highway commissioners of any city, town or county to close one or more of those highways or parts of a highway or highways to public use and travel or to restrict by order the use and travel upon one or more of the highways or parts of a highway or highways.</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Upon receipt of the petition, the highway commissioners shall set a day for  a hearing and publish notice of the hearing in a newspaper having general circulation in the city, town or county in which the property is located. The notice must be published at least 7 days prior to the date set for the hearing.  If, after the hearing, the highway commissioners determine that the public safety and the safety of the property of the petitioner require, they shall, by suitable order, close to public use and travel, or reasonably restrict the use of and travel upon one or more of those highways or parts of one or more of those highways.  The highway commissioners may issue written permits for travel over the closed or restricted highways to responsible and reputable persons for such term, under such conditions and in such form as they may prescribe.  Appropriate notices in letters at least 3 inches high must be posted conspicuously at each end of any highway closed or restricted by the order.  The highway commissioners may at any time revoke or modify the order.</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Whoever violates any order made under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Closing and restricting use of highway;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Closing and restricting use of highway;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§1011. CLOSING AND RESTRICTING USE OF HIGHWAY;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