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§110-A. HONORARY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