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Jurisdiction</w:t>
      </w:r>
    </w:p>
    <w:p>
      <w:pPr>
        <w:jc w:val="both"/>
        <w:spacing w:before="100" w:after="100"/>
        <w:ind w:start="360"/>
        <w:ind w:firstLine="360"/>
      </w:pPr>
      <w:r>
        <w:rPr/>
      </w:r>
      <w:r>
        <w:rPr/>
      </w:r>
      <w:r>
        <w:t xml:space="preserve">The inspection of and design standards for all dams are under the sole jurisdiction of the department, except that the department does not have jurisdiction over any dam licensed or inspected by any department of the Federal Government or by the International Joint Commission.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